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0D" w:rsidP="00BA66E5" w:rsidRDefault="0019340D" w14:paraId="1D8C79E0" w14:textId="74CD1599">
      <w:pPr>
        <w:rPr>
          <w:rFonts w:ascii="Arial" w:hAnsi="Arial" w:eastAsia="Arial" w:cs="Arial"/>
          <w:b/>
          <w:bCs/>
        </w:rPr>
      </w:pPr>
      <w:bookmarkStart w:name="_MailOriginal" w:id="0"/>
    </w:p>
    <w:p w:rsidRPr="00DF2200" w:rsidR="004265BF" w:rsidP="00DF2200" w:rsidRDefault="004265BF" w14:paraId="07C9272B" w14:textId="6F25F09C">
      <w:pPr>
        <w:jc w:val="center"/>
        <w:rPr>
          <w:rFonts w:ascii="Arial" w:hAnsi="Arial" w:cs="Arial"/>
          <w:b/>
        </w:rPr>
      </w:pPr>
      <w:r w:rsidRPr="00DF2200">
        <w:rPr>
          <w:rFonts w:ascii="Arial" w:hAnsi="Arial" w:eastAsia="Arial" w:cs="Arial"/>
          <w:b/>
          <w:bCs/>
        </w:rPr>
        <w:t>Pennsylvania’s State System of Higher Education</w:t>
      </w:r>
      <w:r w:rsidRPr="00DF2200">
        <w:rPr>
          <w:rFonts w:ascii="Arial" w:hAnsi="Arial" w:cs="Arial"/>
        </w:rPr>
        <w:br/>
      </w:r>
      <w:r w:rsidRPr="00DF2200">
        <w:rPr>
          <w:rFonts w:ascii="Arial" w:hAnsi="Arial" w:eastAsia="Arial" w:cs="Arial"/>
          <w:b/>
          <w:bCs/>
        </w:rPr>
        <w:t>Office of the Chancellor</w:t>
      </w:r>
      <w:r w:rsidRPr="00DF2200">
        <w:rPr>
          <w:rFonts w:ascii="Arial" w:hAnsi="Arial" w:cs="Arial"/>
        </w:rPr>
        <w:br/>
      </w:r>
      <w:r w:rsidRPr="00DF2200">
        <w:rPr>
          <w:rFonts w:ascii="Arial" w:hAnsi="Arial" w:eastAsia="Arial" w:cs="Arial"/>
          <w:b/>
          <w:bCs/>
        </w:rPr>
        <w:t xml:space="preserve">Guidance </w:t>
      </w:r>
      <w:r w:rsidRPr="00DF2200">
        <w:rPr>
          <w:rFonts w:ascii="Arial" w:hAnsi="Arial" w:cs="Arial"/>
        </w:rPr>
        <w:br/>
      </w:r>
      <w:r w:rsidRPr="00DF2200">
        <w:rPr>
          <w:rFonts w:ascii="Arial" w:hAnsi="Arial" w:cs="Arial"/>
        </w:rPr>
        <w:br/>
      </w:r>
      <w:r w:rsidRPr="00DF2200" w:rsidR="00DF2200">
        <w:rPr>
          <w:rFonts w:ascii="Arial" w:hAnsi="Arial" w:cs="Arial"/>
          <w:b/>
        </w:rPr>
        <w:t>REFUNDING SPRING 2020 STUDENT FEES GUIDANCE</w:t>
      </w:r>
    </w:p>
    <w:p w:rsidRPr="00DF2200" w:rsidR="004265BF" w:rsidP="00B526E8" w:rsidRDefault="003307D4" w14:paraId="4AF0453B" w14:textId="18D6E242">
      <w:pPr>
        <w:jc w:val="center"/>
        <w:rPr>
          <w:rFonts w:ascii="Arial" w:hAnsi="Arial" w:eastAsia="Arial" w:cs="Arial"/>
          <w:b/>
          <w:bCs/>
        </w:rPr>
      </w:pPr>
      <w:r w:rsidRPr="00DF2200">
        <w:rPr>
          <w:rFonts w:ascii="Arial" w:hAnsi="Arial" w:eastAsia="Arial" w:cs="Arial"/>
          <w:b/>
          <w:bCs/>
        </w:rPr>
        <w:t xml:space="preserve">March </w:t>
      </w:r>
      <w:r w:rsidRPr="00DF2200" w:rsidR="00B526E8">
        <w:rPr>
          <w:rFonts w:ascii="Arial" w:hAnsi="Arial" w:eastAsia="Arial" w:cs="Arial"/>
          <w:b/>
          <w:bCs/>
        </w:rPr>
        <w:t>20</w:t>
      </w:r>
      <w:r w:rsidRPr="00DF2200">
        <w:rPr>
          <w:rFonts w:ascii="Arial" w:hAnsi="Arial" w:eastAsia="Arial" w:cs="Arial"/>
          <w:b/>
          <w:bCs/>
        </w:rPr>
        <w:t>, 2020</w:t>
      </w:r>
    </w:p>
    <w:p w:rsidRPr="00DF2200" w:rsidR="004265BF" w:rsidP="00B526E8" w:rsidRDefault="004265BF" w14:paraId="7E9CD381" w14:textId="2ED0F80C">
      <w:pPr>
        <w:rPr>
          <w:rFonts w:ascii="Arial" w:hAnsi="Arial" w:eastAsia="Arial" w:cs="Arial"/>
          <w:b/>
          <w:bCs/>
        </w:rPr>
      </w:pPr>
    </w:p>
    <w:bookmarkEnd w:id="0"/>
    <w:p w:rsidRPr="00DF2200" w:rsidR="00DF2200" w:rsidP="00DF2200" w:rsidRDefault="00DF2200" w14:paraId="2416A2B9" w14:textId="77777777">
      <w:pPr>
        <w:rPr>
          <w:rFonts w:ascii="Arial" w:hAnsi="Arial" w:cs="Arial"/>
          <w:b/>
        </w:rPr>
      </w:pPr>
    </w:p>
    <w:p w:rsidRPr="00DF2200" w:rsidR="00DF2200" w:rsidP="00DF2200" w:rsidRDefault="00DF2200" w14:paraId="62E7119D" w14:textId="017EA9E1">
      <w:pPr>
        <w:rPr>
          <w:rFonts w:ascii="Arial" w:hAnsi="Arial" w:cs="Arial"/>
          <w:b/>
        </w:rPr>
      </w:pPr>
      <w:r w:rsidRPr="00DF2200">
        <w:rPr>
          <w:rFonts w:ascii="Arial" w:hAnsi="Arial" w:cs="Arial"/>
          <w:b/>
        </w:rPr>
        <w:t>The following guidance is provided for refunding student fees associated with the suspension</w:t>
      </w:r>
      <w:r>
        <w:rPr>
          <w:rFonts w:ascii="Arial" w:hAnsi="Arial" w:cs="Arial"/>
          <w:b/>
        </w:rPr>
        <w:t xml:space="preserve"> </w:t>
      </w:r>
      <w:r w:rsidRPr="00DF2200">
        <w:rPr>
          <w:rFonts w:ascii="Arial" w:hAnsi="Arial" w:cs="Arial"/>
          <w:b/>
        </w:rPr>
        <w:t>of in-person instruction due to COVID-19 during the Spring 2020 semester.</w:t>
      </w:r>
    </w:p>
    <w:p w:rsidRPr="00DF2200" w:rsidR="00DF2200" w:rsidP="00DF2200" w:rsidRDefault="00DF2200" w14:paraId="559BA6D3" w14:textId="77777777">
      <w:pPr>
        <w:rPr>
          <w:rFonts w:ascii="Arial" w:hAnsi="Arial" w:cs="Arial"/>
          <w:b/>
          <w:u w:val="single"/>
        </w:rPr>
      </w:pPr>
    </w:p>
    <w:p w:rsidRPr="00DF2200" w:rsidR="00DF2200" w:rsidP="00DF2200" w:rsidRDefault="00DF2200" w14:paraId="4F5BD0FB" w14:textId="2D1B9D5D">
      <w:pPr>
        <w:rPr>
          <w:rFonts w:ascii="Arial" w:hAnsi="Arial" w:cs="Arial"/>
          <w:b/>
          <w:u w:val="single"/>
        </w:rPr>
      </w:pPr>
      <w:r w:rsidRPr="00DF2200">
        <w:rPr>
          <w:rFonts w:ascii="Arial" w:hAnsi="Arial" w:cs="Arial"/>
          <w:b/>
          <w:u w:val="single"/>
        </w:rPr>
        <w:t>Background:</w:t>
      </w:r>
    </w:p>
    <w:p w:rsidRPr="00DF2200" w:rsidR="00DF2200" w:rsidP="00DF2200" w:rsidRDefault="00DF2200" w14:paraId="106D0F58" w14:textId="77777777">
      <w:pPr>
        <w:rPr>
          <w:rFonts w:ascii="Arial" w:hAnsi="Arial" w:cs="Arial"/>
          <w:b/>
        </w:rPr>
      </w:pPr>
      <w:r w:rsidRPr="00DF2200">
        <w:rPr>
          <w:rFonts w:ascii="Arial" w:hAnsi="Arial" w:cs="Arial"/>
          <w:b/>
        </w:rPr>
        <w:t>U.S. Department of Education (ED) Guidance</w:t>
      </w:r>
    </w:p>
    <w:p w:rsidRPr="00DF2200" w:rsidR="00DF2200" w:rsidP="00DF2200" w:rsidRDefault="00DF2200" w14:paraId="42F2547F" w14:textId="77777777">
      <w:pPr>
        <w:rPr>
          <w:rFonts w:ascii="Arial" w:hAnsi="Arial" w:cs="Arial"/>
        </w:rPr>
      </w:pPr>
      <w:r w:rsidRPr="00DF2200">
        <w:rPr>
          <w:rFonts w:ascii="Arial" w:hAnsi="Arial" w:cs="Arial"/>
          <w:color w:val="000000"/>
        </w:rPr>
        <w:t xml:space="preserve">Although the US Department of Education has released </w:t>
      </w:r>
      <w:r w:rsidRPr="00DF2200">
        <w:rPr>
          <w:rFonts w:ascii="Arial" w:hAnsi="Arial" w:cs="Arial"/>
        </w:rPr>
        <w:t xml:space="preserve"> </w:t>
      </w:r>
      <w:hyperlink w:history="1" r:id="rId11">
        <w:r w:rsidRPr="00DF2200">
          <w:rPr>
            <w:rStyle w:val="Hyperlink"/>
            <w:rFonts w:ascii="Arial" w:hAnsi="Arial" w:cs="Arial"/>
          </w:rPr>
          <w:t>Guidance for interruptions of study related to Coronavirus (COVID-19)</w:t>
        </w:r>
      </w:hyperlink>
      <w:r w:rsidRPr="00DF2200">
        <w:rPr>
          <w:rFonts w:ascii="Arial" w:hAnsi="Arial" w:cs="Arial"/>
        </w:rPr>
        <w:t xml:space="preserve"> (March 5, 2020), this guidance does not address the impact of suspending in-person instruction on student living decisions and associated costs. </w:t>
      </w:r>
    </w:p>
    <w:p w:rsidRPr="00DF2200" w:rsidR="00DF2200" w:rsidP="00DF2200" w:rsidRDefault="00DF2200" w14:paraId="65A06872" w14:textId="77777777">
      <w:pPr>
        <w:rPr>
          <w:rFonts w:ascii="Arial" w:hAnsi="Arial" w:cs="Arial"/>
          <w:color w:val="000000"/>
        </w:rPr>
      </w:pPr>
    </w:p>
    <w:p w:rsidRPr="00DF2200" w:rsidR="00DF2200" w:rsidP="00DF2200" w:rsidRDefault="00DF2200" w14:paraId="55D3D539" w14:textId="77777777">
      <w:pPr>
        <w:rPr>
          <w:rFonts w:ascii="Arial" w:hAnsi="Arial" w:cs="Arial"/>
          <w:color w:val="000000"/>
        </w:rPr>
      </w:pPr>
      <w:r w:rsidRPr="00DF2200">
        <w:rPr>
          <w:rFonts w:ascii="Arial" w:hAnsi="Arial" w:cs="Arial"/>
          <w:color w:val="000000"/>
        </w:rPr>
        <w:t xml:space="preserve">Applicable guidance was provided by ED in 2018 regarding the inability of the university to educate students relating to a natural disaster or pandemic influenza outbreak. That </w:t>
      </w:r>
      <w:hyperlink w:history="1" r:id="rId12">
        <w:r w:rsidRPr="00DF2200">
          <w:rPr>
            <w:rStyle w:val="Hyperlink"/>
            <w:rFonts w:ascii="Arial" w:hAnsi="Arial" w:cs="Arial"/>
          </w:rPr>
          <w:t>2018 disaster guidance from ED</w:t>
        </w:r>
      </w:hyperlink>
      <w:r w:rsidRPr="00DF2200">
        <w:rPr>
          <w:rFonts w:ascii="Arial" w:hAnsi="Arial" w:cs="Arial"/>
          <w:color w:val="000000"/>
        </w:rPr>
        <w:t xml:space="preserve"> specified: “The Department strongly encourages institutions to provide a full refund of tuition, fees, and other institutional charges, or to provide credit in a comparable amount against future charges, for students who withdraw from school as a direct result of a disaster. The Department also urges institutions to consider providing easy and flexible re-enrollment options to such students.” </w:t>
      </w:r>
    </w:p>
    <w:p w:rsidRPr="00DF2200" w:rsidR="00DF2200" w:rsidP="00DF2200" w:rsidRDefault="00DF2200" w14:paraId="3AA7D68E" w14:textId="77777777">
      <w:pPr>
        <w:rPr>
          <w:rFonts w:ascii="Arial" w:hAnsi="Arial" w:cs="Arial"/>
          <w:b/>
        </w:rPr>
      </w:pPr>
    </w:p>
    <w:p w:rsidRPr="00DF2200" w:rsidR="00DF2200" w:rsidP="00DF2200" w:rsidRDefault="00DF2200" w14:paraId="53DEE02C" w14:textId="77777777">
      <w:pPr>
        <w:rPr>
          <w:rFonts w:ascii="Arial" w:hAnsi="Arial" w:cs="Arial"/>
          <w:b/>
        </w:rPr>
      </w:pPr>
      <w:r w:rsidRPr="00DF2200">
        <w:rPr>
          <w:rFonts w:ascii="Arial" w:hAnsi="Arial" w:cs="Arial"/>
          <w:b/>
          <w:u w:val="single"/>
        </w:rPr>
        <w:t>System Conclusion:</w:t>
      </w:r>
      <w:r w:rsidRPr="00DF2200">
        <w:rPr>
          <w:rFonts w:ascii="Arial" w:hAnsi="Arial" w:cs="Arial"/>
          <w:b/>
        </w:rPr>
        <w:t xml:space="preserve"> </w:t>
      </w:r>
      <w:bookmarkStart w:name="_Hlk35336541" w:id="1"/>
    </w:p>
    <w:p w:rsidRPr="00DF2200" w:rsidR="00DF2200" w:rsidP="00DF2200" w:rsidRDefault="00DF2200" w14:paraId="284AE8FA" w14:textId="77777777">
      <w:pPr>
        <w:rPr>
          <w:rFonts w:ascii="Arial" w:hAnsi="Arial" w:cs="Arial"/>
        </w:rPr>
      </w:pPr>
      <w:r w:rsidRPr="00DF2200">
        <w:rPr>
          <w:rFonts w:ascii="Arial" w:hAnsi="Arial" w:cs="Arial"/>
        </w:rPr>
        <w:t>Given that the university is providing full educational and student services, tuition and other academic/student service fees do not need to be refunded.</w:t>
      </w:r>
      <w:r w:rsidRPr="00DF2200">
        <w:rPr>
          <w:rFonts w:ascii="Arial" w:hAnsi="Arial" w:cs="Arial"/>
          <w:b/>
          <w:bCs/>
        </w:rPr>
        <w:t xml:space="preserve"> </w:t>
      </w:r>
      <w:r w:rsidRPr="00DF2200">
        <w:rPr>
          <w:rFonts w:ascii="Arial" w:hAnsi="Arial" w:cs="Arial"/>
        </w:rPr>
        <w:t>The above federal guidance would indicate that if a university will not be providing services for which the student has been charged, an appropriate refund (or credit) should be made to the students’ accounts. Therefore, guidance is focused on auxiliary or self-supporting services that will no longer be provided and which were charged to the student via specific fees.</w:t>
      </w:r>
      <w:bookmarkEnd w:id="1"/>
    </w:p>
    <w:p w:rsidRPr="00DF2200" w:rsidR="00DF2200" w:rsidP="00DF2200" w:rsidRDefault="00DF2200" w14:paraId="5CD8955C" w14:textId="77777777">
      <w:pPr>
        <w:rPr>
          <w:rFonts w:ascii="Arial" w:hAnsi="Arial" w:cs="Arial"/>
          <w:b/>
          <w:bCs/>
          <w:u w:val="single"/>
        </w:rPr>
      </w:pPr>
    </w:p>
    <w:p w:rsidRPr="00DF2200" w:rsidR="00DF2200" w:rsidP="00DF2200" w:rsidRDefault="00DF2200" w14:paraId="7BE6E2C1" w14:textId="77777777">
      <w:pPr>
        <w:rPr>
          <w:rFonts w:ascii="Arial" w:hAnsi="Arial" w:cs="Arial"/>
          <w:b/>
          <w:bCs/>
          <w:u w:val="single"/>
        </w:rPr>
      </w:pPr>
      <w:r w:rsidRPr="00DF2200">
        <w:rPr>
          <w:rFonts w:ascii="Arial" w:hAnsi="Arial" w:cs="Arial"/>
          <w:b/>
          <w:bCs/>
          <w:u w:val="single"/>
        </w:rPr>
        <w:t>Principles for Refunding Students in Spring 2020 Due to COVID-19:</w:t>
      </w:r>
    </w:p>
    <w:p w:rsidRPr="00DF2200" w:rsidR="00DF2200" w:rsidP="00DF2200" w:rsidRDefault="00DF2200" w14:paraId="6395FB60" w14:textId="77777777">
      <w:pPr>
        <w:pStyle w:val="NormalWeb"/>
        <w:numPr>
          <w:ilvl w:val="0"/>
          <w:numId w:val="4"/>
        </w:numPr>
        <w:shd w:val="clear" w:color="auto" w:fill="FFFFFF" w:themeFill="background1"/>
        <w:spacing w:before="0" w:beforeAutospacing="0" w:after="0" w:afterAutospacing="0"/>
        <w:rPr>
          <w:rFonts w:ascii="Arial" w:hAnsi="Arial" w:cs="Arial"/>
          <w:color w:val="000000"/>
          <w:sz w:val="22"/>
          <w:szCs w:val="22"/>
          <w:shd w:val="clear" w:color="auto" w:fill="FFFFFF"/>
        </w:rPr>
      </w:pPr>
      <w:r w:rsidRPr="00DF2200" w:rsidR="00DF2200">
        <w:rPr>
          <w:rFonts w:ascii="Arial" w:hAnsi="Arial" w:cs="Arial"/>
          <w:sz w:val="22"/>
          <w:szCs w:val="22"/>
        </w:rPr>
        <w:t>These guidelines are applicable to those students who remain enrolled for the remainder of the semester.</w:t>
      </w:r>
      <w:r w:rsidRPr="00DF2200" w:rsidR="00DF2200">
        <w:rPr>
          <w:rFonts w:ascii="Arial" w:hAnsi="Arial" w:cs="Arial"/>
          <w:color w:val="000000"/>
          <w:sz w:val="22"/>
          <w:szCs w:val="22"/>
          <w:shd w:val="clear" w:color="auto" w:fill="FFFFFF"/>
        </w:rPr>
        <w:t xml:space="preserve"> The suspension of in-person instruction for the remainder of the semester does not change the student’s modality classification for billing, financial aid, and/or reporting purposes.</w:t>
      </w:r>
    </w:p>
    <w:p w:rsidRPr="00DF2200" w:rsidR="00DF2200" w:rsidP="15E16ECC" w:rsidRDefault="00DF2200" w14:paraId="0BD9760F" w14:textId="77777777">
      <w:pPr>
        <w:pStyle w:val="NormalWeb"/>
        <w:numPr>
          <w:ilvl w:val="0"/>
          <w:numId w:val="4"/>
        </w:numPr>
        <w:shd w:val="clear" w:color="auto" w:fill="FFFFFF" w:themeFill="background1"/>
        <w:spacing w:before="0" w:beforeAutospacing="0" w:after="0" w:afterAutospacing="0"/>
        <w:rPr>
          <w:rFonts w:ascii="Arial" w:hAnsi="Arial" w:eastAsia="" w:cs="Arial" w:eastAsiaTheme="minorEastAsia"/>
          <w:sz w:val="22"/>
          <w:szCs w:val="22"/>
        </w:rPr>
      </w:pPr>
      <w:r w:rsidRPr="15E16ECC" w:rsidR="00DF2200">
        <w:rPr>
          <w:rFonts w:ascii="Arial" w:hAnsi="Arial" w:cs="Arial"/>
          <w:sz w:val="22"/>
          <w:szCs w:val="22"/>
        </w:rPr>
        <w:t xml:space="preserve">Given that the universities are providing full educational and student services (including health services), tuition and academic/student service fees will not be refunded. </w:t>
      </w:r>
    </w:p>
    <w:p w:rsidRPr="00DF2200" w:rsidR="00DF2200" w:rsidP="00DF2200" w:rsidRDefault="00DF2200" w14:paraId="3092CB4E" w14:textId="292EAEE6">
      <w:pPr>
        <w:pStyle w:val="NormalWeb"/>
        <w:numPr>
          <w:ilvl w:val="0"/>
          <w:numId w:val="4"/>
        </w:numPr>
        <w:shd w:val="clear" w:color="auto" w:fill="FFFFFF" w:themeFill="background1"/>
        <w:spacing w:before="0" w:beforeAutospacing="0" w:after="0" w:afterAutospacing="0"/>
        <w:rPr>
          <w:rFonts w:ascii="Arial" w:hAnsi="Arial" w:cs="Arial"/>
          <w:sz w:val="22"/>
          <w:szCs w:val="22"/>
        </w:rPr>
      </w:pPr>
      <w:r w:rsidRPr="15E16ECC" w:rsidR="00DF2200">
        <w:rPr>
          <w:rFonts w:ascii="Arial" w:hAnsi="Arial" w:cs="Arial"/>
          <w:sz w:val="22"/>
          <w:szCs w:val="22"/>
        </w:rPr>
        <w:t xml:space="preserve">Students should be refunded for services </w:t>
      </w:r>
      <w:r w:rsidRPr="15E16ECC" w:rsidR="00DF2200">
        <w:rPr>
          <w:rFonts w:ascii="Arial" w:hAnsi="Arial" w:cs="Arial"/>
          <w:color w:val="000000" w:themeColor="text1" w:themeTint="FF" w:themeShade="FF"/>
          <w:sz w:val="22"/>
          <w:szCs w:val="22"/>
        </w:rPr>
        <w:t xml:space="preserve">they will no longer receive, including housing, dining, and unused portions of other fees as </w:t>
      </w:r>
      <w:r w:rsidRPr="15E16ECC" w:rsidR="00D06D54">
        <w:rPr>
          <w:rFonts w:ascii="Arial" w:hAnsi="Arial" w:cs="Arial"/>
          <w:color w:val="000000" w:themeColor="text1" w:themeTint="FF" w:themeShade="FF"/>
          <w:sz w:val="22"/>
          <w:szCs w:val="22"/>
        </w:rPr>
        <w:t>d</w:t>
      </w:r>
      <w:r w:rsidRPr="15E16ECC" w:rsidR="00DF2200">
        <w:rPr>
          <w:rFonts w:ascii="Arial" w:hAnsi="Arial" w:cs="Arial"/>
          <w:color w:val="000000" w:themeColor="text1" w:themeTint="FF" w:themeShade="FF"/>
          <w:sz w:val="22"/>
          <w:szCs w:val="22"/>
        </w:rPr>
        <w:t xml:space="preserve">etermined by the university. </w:t>
      </w:r>
    </w:p>
    <w:p w:rsidRPr="00DF2200" w:rsidR="00DF2200" w:rsidP="00DF2200" w:rsidRDefault="00DF2200" w14:paraId="0A8E4F79" w14:textId="77777777">
      <w:pPr>
        <w:pStyle w:val="NormalWeb"/>
        <w:numPr>
          <w:ilvl w:val="0"/>
          <w:numId w:val="4"/>
        </w:numPr>
        <w:shd w:val="clear" w:color="auto" w:fill="FFFFFF" w:themeFill="background1"/>
        <w:spacing w:before="0" w:beforeAutospacing="0" w:after="0" w:afterAutospacing="0"/>
        <w:rPr>
          <w:rFonts w:ascii="Arial" w:hAnsi="Arial" w:cs="Arial"/>
          <w:sz w:val="22"/>
          <w:szCs w:val="22"/>
        </w:rPr>
      </w:pPr>
      <w:r w:rsidRPr="15E16ECC" w:rsidR="00DF2200">
        <w:rPr>
          <w:rFonts w:ascii="Arial" w:hAnsi="Arial" w:cs="Arial"/>
          <w:sz w:val="22"/>
          <w:szCs w:val="22"/>
        </w:rPr>
        <w:t>Refunds should be prorated, based on the number of days for which the service will not be provided to the student(s).</w:t>
      </w:r>
    </w:p>
    <w:p w:rsidRPr="00DF2200" w:rsidR="00DF2200" w:rsidP="15E16ECC" w:rsidRDefault="00DF2200" w14:paraId="108B8A29" w14:textId="77777777">
      <w:pPr>
        <w:pStyle w:val="NormalWeb"/>
        <w:numPr>
          <w:ilvl w:val="0"/>
          <w:numId w:val="4"/>
        </w:numPr>
        <w:spacing w:before="0" w:beforeAutospacing="0" w:after="0" w:afterAutospacing="0"/>
        <w:rPr>
          <w:rFonts w:ascii="Arial" w:hAnsi="Arial" w:eastAsia="" w:cs="Arial" w:eastAsiaTheme="minorEastAsia"/>
          <w:color w:val="000000" w:themeColor="text1"/>
          <w:sz w:val="22"/>
          <w:szCs w:val="22"/>
        </w:rPr>
      </w:pPr>
      <w:r w:rsidRPr="15E16ECC" w:rsidR="00DF2200">
        <w:rPr>
          <w:rFonts w:ascii="Arial" w:hAnsi="Arial" w:cs="Arial"/>
          <w:sz w:val="22"/>
          <w:szCs w:val="22"/>
        </w:rPr>
        <w:t xml:space="preserve">Refunds involving affiliates, such as activity fees and some housing fees, may be dependent on the cooperation of the affiliate. Similarly, refunds for dining may be dependent on vendor agreements. </w:t>
      </w:r>
    </w:p>
    <w:p w:rsidRPr="00DF2200" w:rsidR="00DF2200" w:rsidP="00DF2200" w:rsidRDefault="00DF2200" w14:paraId="543FF905" w14:textId="77777777">
      <w:pPr>
        <w:pStyle w:val="NormalWeb"/>
        <w:numPr>
          <w:ilvl w:val="0"/>
          <w:numId w:val="4"/>
        </w:numPr>
        <w:spacing w:before="0" w:beforeAutospacing="0" w:after="0" w:afterAutospacing="0"/>
        <w:rPr>
          <w:rFonts w:ascii="Arial" w:hAnsi="Arial" w:cs="Arial"/>
          <w:color w:val="000000" w:themeColor="text1"/>
          <w:sz w:val="22"/>
          <w:szCs w:val="22"/>
        </w:rPr>
      </w:pPr>
      <w:r w:rsidRPr="15E16ECC" w:rsidR="00DF2200">
        <w:rPr>
          <w:rFonts w:ascii="Arial" w:hAnsi="Arial" w:cs="Arial"/>
          <w:sz w:val="22"/>
          <w:szCs w:val="22"/>
        </w:rPr>
        <w:t xml:space="preserve">The preferred method of reimbursement is through a refund to the student account. Credits to student accounts for future use, while not recommended, may be used as an alternative only if refunds cannot address solutions to #5, above. However, if a credit is </w:t>
      </w:r>
      <w:r w:rsidRPr="15E16ECC" w:rsidR="00DF2200">
        <w:rPr>
          <w:rFonts w:ascii="Arial" w:hAnsi="Arial" w:cs="Arial"/>
          <w:sz w:val="22"/>
          <w:szCs w:val="22"/>
        </w:rPr>
        <w:t>applied, it should first be applied to any remaining current charges. Please be aware there may be federal financial aid implications for credits applied in the future award year.</w:t>
      </w:r>
    </w:p>
    <w:p w:rsidRPr="00DF2200" w:rsidR="00DF2200" w:rsidP="00DF2200" w:rsidRDefault="00DF2200" w14:paraId="35412283" w14:textId="77777777">
      <w:pPr>
        <w:pStyle w:val="NormalWeb"/>
        <w:numPr>
          <w:ilvl w:val="0"/>
          <w:numId w:val="4"/>
        </w:numPr>
        <w:spacing w:before="0" w:beforeAutospacing="0" w:after="0" w:afterAutospacing="0"/>
        <w:rPr>
          <w:rFonts w:ascii="Arial" w:hAnsi="Arial" w:cs="Arial"/>
          <w:sz w:val="22"/>
          <w:szCs w:val="22"/>
        </w:rPr>
      </w:pPr>
      <w:r w:rsidRPr="15E16ECC" w:rsidR="00DF2200">
        <w:rPr>
          <w:rFonts w:ascii="Arial" w:hAnsi="Arial" w:cs="Arial"/>
          <w:sz w:val="22"/>
          <w:szCs w:val="22"/>
        </w:rPr>
        <w:t>Generally, universities should not change the Cost of Attendance. Please refer to all applicable federal and state financial aid regulations and guidance.</w:t>
      </w:r>
    </w:p>
    <w:p w:rsidR="24EB5E15" w:rsidP="15E16ECC" w:rsidRDefault="24EB5E15" w14:paraId="2D9449CB" w14:textId="6DEA3E82">
      <w:pPr>
        <w:pStyle w:val="NormalWeb"/>
        <w:numPr>
          <w:ilvl w:val="0"/>
          <w:numId w:val="4"/>
        </w:numPr>
        <w:bidi w:val="0"/>
        <w:spacing w:before="0" w:beforeAutospacing="off" w:after="0" w:afterAutospacing="off" w:line="240" w:lineRule="auto"/>
        <w:ind w:right="0"/>
        <w:jc w:val="left"/>
        <w:rPr>
          <w:rFonts w:ascii="Arial" w:hAnsi="Arial" w:eastAsia="Arial" w:cs="Arial" w:asciiTheme="minorAscii" w:hAnsiTheme="minorAscii" w:eastAsiaTheme="minorAscii" w:cstheme="minorAscii"/>
          <w:sz w:val="22"/>
          <w:szCs w:val="22"/>
        </w:rPr>
      </w:pPr>
      <w:r w:rsidRPr="15E16ECC" w:rsidR="24EB5E15">
        <w:rPr>
          <w:rFonts w:ascii="Arial" w:hAnsi="Arial" w:cs="Arial"/>
          <w:sz w:val="22"/>
          <w:szCs w:val="22"/>
        </w:rPr>
        <w:t>R</w:t>
      </w:r>
      <w:r w:rsidRPr="15E16ECC" w:rsidR="00DF2200">
        <w:rPr>
          <w:rFonts w:ascii="Arial" w:hAnsi="Arial" w:cs="Arial"/>
          <w:sz w:val="22"/>
          <w:szCs w:val="22"/>
        </w:rPr>
        <w:t xml:space="preserve">efunds for eligible students will </w:t>
      </w:r>
      <w:r w:rsidRPr="15E16ECC" w:rsidR="1E239894">
        <w:rPr>
          <w:rFonts w:ascii="Arial" w:hAnsi="Arial" w:cs="Arial"/>
          <w:sz w:val="22"/>
          <w:szCs w:val="22"/>
        </w:rPr>
        <w:t xml:space="preserve">be processed </w:t>
      </w:r>
      <w:r w:rsidRPr="15E16ECC" w:rsidR="1E239894">
        <w:rPr>
          <w:rFonts w:ascii="Arial" w:hAnsi="Arial" w:cs="Arial"/>
          <w:sz w:val="22"/>
          <w:szCs w:val="22"/>
        </w:rPr>
        <w:t xml:space="preserve">by the universities </w:t>
      </w:r>
      <w:r w:rsidRPr="15E16ECC" w:rsidR="481F9911">
        <w:rPr>
          <w:rFonts w:ascii="Arial" w:hAnsi="Arial" w:cs="Arial"/>
          <w:sz w:val="22"/>
          <w:szCs w:val="22"/>
        </w:rPr>
        <w:t xml:space="preserve">at the earliest possible time </w:t>
      </w:r>
      <w:r w:rsidRPr="15E16ECC" w:rsidR="1E239894">
        <w:rPr>
          <w:rFonts w:ascii="Arial" w:hAnsi="Arial" w:cs="Arial"/>
          <w:sz w:val="22"/>
          <w:szCs w:val="22"/>
        </w:rPr>
        <w:t xml:space="preserve">based on a </w:t>
      </w:r>
      <w:r w:rsidRPr="15E16ECC" w:rsidR="1D6805D1">
        <w:rPr>
          <w:rFonts w:ascii="Arial" w:hAnsi="Arial" w:cs="Arial"/>
          <w:sz w:val="22"/>
          <w:szCs w:val="22"/>
        </w:rPr>
        <w:t>schedule</w:t>
      </w:r>
      <w:r w:rsidRPr="15E16ECC" w:rsidR="1E239894">
        <w:rPr>
          <w:rFonts w:ascii="Arial" w:hAnsi="Arial" w:cs="Arial"/>
          <w:sz w:val="22"/>
          <w:szCs w:val="22"/>
        </w:rPr>
        <w:t xml:space="preserve"> determined </w:t>
      </w:r>
      <w:r w:rsidRPr="15E16ECC" w:rsidR="15134C13">
        <w:rPr>
          <w:rFonts w:ascii="Arial" w:hAnsi="Arial" w:cs="Arial"/>
          <w:sz w:val="22"/>
          <w:szCs w:val="22"/>
        </w:rPr>
        <w:t>by</w:t>
      </w:r>
      <w:r w:rsidRPr="15E16ECC" w:rsidR="1E239894">
        <w:rPr>
          <w:rFonts w:ascii="Arial" w:hAnsi="Arial" w:cs="Arial"/>
          <w:sz w:val="22"/>
          <w:szCs w:val="22"/>
        </w:rPr>
        <w:t xml:space="preserve"> the institution. </w:t>
      </w:r>
    </w:p>
    <w:p w:rsidRPr="00DF2200" w:rsidR="00DF2200" w:rsidP="00DF2200" w:rsidRDefault="00DF2200" w14:paraId="0BF6B3CF" w14:textId="77777777">
      <w:pPr>
        <w:pStyle w:val="NormalWeb"/>
        <w:shd w:val="clear" w:color="auto" w:fill="FFFFFF" w:themeFill="background1"/>
        <w:spacing w:before="0" w:beforeAutospacing="0" w:after="0" w:afterAutospacing="0"/>
        <w:ind w:left="720"/>
        <w:rPr>
          <w:rFonts w:ascii="Arial" w:hAnsi="Arial" w:cs="Arial"/>
          <w:sz w:val="22"/>
          <w:szCs w:val="22"/>
        </w:rPr>
      </w:pPr>
    </w:p>
    <w:p w:rsidRPr="00DF2200" w:rsidR="00DF2200" w:rsidP="00DF2200" w:rsidRDefault="00DF2200" w14:paraId="125CCA9E" w14:textId="7347DAB4">
      <w:pPr>
        <w:pStyle w:val="NormalWeb"/>
        <w:shd w:val="clear" w:color="auto" w:fill="FFFFFF" w:themeFill="background1"/>
        <w:spacing w:before="0" w:beforeAutospacing="0" w:after="0" w:afterAutospacing="0"/>
        <w:rPr>
          <w:rFonts w:ascii="Arial" w:hAnsi="Arial" w:cs="Arial"/>
          <w:color w:val="000000" w:themeColor="text1"/>
          <w:sz w:val="22"/>
          <w:szCs w:val="22"/>
        </w:rPr>
      </w:pPr>
      <w:r w:rsidRPr="00DF2200">
        <w:rPr>
          <w:rFonts w:ascii="Arial" w:hAnsi="Arial" w:cs="Arial"/>
          <w:color w:val="000000" w:themeColor="text1"/>
          <w:sz w:val="22"/>
          <w:szCs w:val="22"/>
        </w:rPr>
        <w:t xml:space="preserve">The following scenarios illustrate situations where refunds are to be provided and the proration effective date. </w:t>
      </w:r>
      <w:r>
        <w:rPr>
          <w:rFonts w:ascii="Arial" w:hAnsi="Arial" w:cs="Arial"/>
          <w:color w:val="000000" w:themeColor="text1"/>
          <w:sz w:val="22"/>
          <w:szCs w:val="22"/>
        </w:rPr>
        <w:br/>
      </w:r>
    </w:p>
    <w:tbl>
      <w:tblPr>
        <w:tblStyle w:val="TableGrid"/>
        <w:tblW w:w="8815" w:type="dxa"/>
        <w:tblInd w:w="0" w:type="dxa"/>
        <w:tblLook w:val="04A0" w:firstRow="1" w:lastRow="0" w:firstColumn="1" w:lastColumn="0" w:noHBand="0" w:noVBand="1"/>
      </w:tblPr>
      <w:tblGrid>
        <w:gridCol w:w="2339"/>
        <w:gridCol w:w="2595"/>
        <w:gridCol w:w="3881"/>
      </w:tblGrid>
      <w:tr w:rsidRPr="00DF2200" w:rsidR="00DF2200" w:rsidTr="00DF2200" w14:paraId="3B0639D0" w14:textId="77777777">
        <w:tc>
          <w:tcPr>
            <w:tcW w:w="2339" w:type="dxa"/>
            <w:tcBorders>
              <w:top w:val="single" w:color="auto" w:sz="4" w:space="0"/>
              <w:left w:val="single" w:color="auto" w:sz="4" w:space="0"/>
              <w:bottom w:val="single" w:color="auto" w:sz="4" w:space="0"/>
              <w:right w:val="single" w:color="auto" w:sz="4" w:space="0"/>
            </w:tcBorders>
            <w:vAlign w:val="bottom"/>
            <w:hideMark/>
          </w:tcPr>
          <w:p w:rsidRPr="00DF2200" w:rsidR="00DF2200" w:rsidRDefault="00DF2200" w14:paraId="0CD5CEA4" w14:textId="77777777">
            <w:pPr>
              <w:jc w:val="center"/>
              <w:rPr>
                <w:rFonts w:ascii="Arial" w:hAnsi="Arial" w:cs="Arial"/>
                <w:b/>
                <w:bCs/>
              </w:rPr>
            </w:pPr>
            <w:r w:rsidRPr="00DF2200">
              <w:rPr>
                <w:rFonts w:ascii="Arial" w:hAnsi="Arial" w:cs="Arial"/>
                <w:b/>
                <w:bCs/>
              </w:rPr>
              <w:t>Scenario</w:t>
            </w:r>
          </w:p>
        </w:tc>
        <w:tc>
          <w:tcPr>
            <w:tcW w:w="2595"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016528BF" w14:textId="77777777">
            <w:pPr>
              <w:jc w:val="center"/>
              <w:rPr>
                <w:rFonts w:ascii="Arial" w:hAnsi="Arial" w:cs="Arial"/>
                <w:b/>
                <w:bCs/>
              </w:rPr>
            </w:pPr>
            <w:r w:rsidRPr="00DF2200">
              <w:rPr>
                <w:rFonts w:ascii="Arial" w:hAnsi="Arial" w:cs="Arial"/>
                <w:b/>
                <w:bCs/>
              </w:rPr>
              <w:t>Timing</w:t>
            </w: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20D8DF96" w14:textId="77777777">
            <w:pPr>
              <w:jc w:val="center"/>
              <w:rPr>
                <w:rFonts w:ascii="Arial" w:hAnsi="Arial" w:cs="Arial"/>
                <w:b/>
                <w:bCs/>
              </w:rPr>
            </w:pPr>
            <w:r w:rsidRPr="00DF2200">
              <w:rPr>
                <w:rFonts w:ascii="Arial" w:hAnsi="Arial" w:cs="Arial"/>
                <w:b/>
                <w:bCs/>
              </w:rPr>
              <w:t xml:space="preserve"> Guidance</w:t>
            </w:r>
          </w:p>
        </w:tc>
      </w:tr>
      <w:tr w:rsidRPr="00DF2200" w:rsidR="00DF2200" w:rsidTr="00DF2200" w14:paraId="421AF053" w14:textId="77777777">
        <w:tc>
          <w:tcPr>
            <w:tcW w:w="2339" w:type="dxa"/>
            <w:vMerge w:val="restart"/>
            <w:tcBorders>
              <w:top w:val="single" w:color="auto" w:sz="4" w:space="0"/>
              <w:left w:val="single" w:color="auto" w:sz="4" w:space="0"/>
              <w:bottom w:val="single" w:color="auto" w:sz="4" w:space="0"/>
              <w:right w:val="single" w:color="auto" w:sz="4" w:space="0"/>
            </w:tcBorders>
            <w:vAlign w:val="center"/>
            <w:hideMark/>
          </w:tcPr>
          <w:p w:rsidRPr="00DF2200" w:rsidR="00DF2200" w:rsidRDefault="00DF2200" w14:paraId="78E4A801" w14:textId="77777777">
            <w:pPr>
              <w:rPr>
                <w:rFonts w:ascii="Arial" w:hAnsi="Arial" w:cs="Arial"/>
              </w:rPr>
            </w:pPr>
            <w:r w:rsidRPr="00DF2200">
              <w:rPr>
                <w:rFonts w:ascii="Arial" w:hAnsi="Arial" w:cs="Arial"/>
              </w:rPr>
              <w:t>1)University required students to move out of campus-provided housing.</w:t>
            </w:r>
          </w:p>
        </w:tc>
        <w:tc>
          <w:tcPr>
            <w:tcW w:w="2595"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770E22CC" w14:textId="77777777">
            <w:pPr>
              <w:rPr>
                <w:rFonts w:ascii="Arial" w:hAnsi="Arial" w:cs="Arial"/>
              </w:rPr>
            </w:pPr>
            <w:r w:rsidRPr="00DF2200">
              <w:rPr>
                <w:rFonts w:ascii="Arial" w:hAnsi="Arial" w:cs="Arial"/>
              </w:rPr>
              <w:t>Students were not allowed to return to live in housing after the original spring break period.</w:t>
            </w:r>
          </w:p>
        </w:tc>
        <w:tc>
          <w:tcPr>
            <w:tcW w:w="3881" w:type="dxa"/>
            <w:tcBorders>
              <w:top w:val="single" w:color="auto" w:sz="4" w:space="0"/>
              <w:left w:val="single" w:color="auto" w:sz="4" w:space="0"/>
              <w:bottom w:val="single" w:color="auto" w:sz="4" w:space="0"/>
              <w:right w:val="single" w:color="auto" w:sz="4" w:space="0"/>
            </w:tcBorders>
          </w:tcPr>
          <w:p w:rsidRPr="00DF2200" w:rsidR="00DF2200" w:rsidRDefault="00DF2200" w14:paraId="7459F6CC" w14:textId="77777777">
            <w:pPr>
              <w:rPr>
                <w:rFonts w:ascii="Arial" w:hAnsi="Arial" w:cs="Arial"/>
              </w:rPr>
            </w:pPr>
            <w:r w:rsidRPr="00DF2200">
              <w:rPr>
                <w:rFonts w:ascii="Arial" w:hAnsi="Arial" w:cs="Arial"/>
              </w:rPr>
              <w:t>Room, board and other fees identified by the university must be refunded, prorated to the first day after the end of the original spring break.</w:t>
            </w:r>
          </w:p>
          <w:p w:rsidRPr="00DF2200" w:rsidR="00DF2200" w:rsidRDefault="00DF2200" w14:paraId="3A5DF8B4" w14:textId="77777777">
            <w:pPr>
              <w:rPr>
                <w:rFonts w:ascii="Arial" w:hAnsi="Arial" w:cs="Arial"/>
              </w:rPr>
            </w:pPr>
          </w:p>
        </w:tc>
      </w:tr>
      <w:tr w:rsidRPr="00DF2200" w:rsidR="00DF2200" w:rsidTr="00DF2200" w14:paraId="6D4AD443" w14:textId="77777777">
        <w:trPr>
          <w:trHeight w:val="2276"/>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DF2200" w:rsidR="00DF2200" w:rsidRDefault="00DF2200" w14:paraId="1E827F50" w14:textId="77777777">
            <w:pPr>
              <w:rPr>
                <w:rFonts w:ascii="Arial" w:hAnsi="Arial" w:cs="Arial"/>
              </w:rPr>
            </w:pPr>
          </w:p>
        </w:tc>
        <w:tc>
          <w:tcPr>
            <w:tcW w:w="2595"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0F5AEDC4" w14:textId="77777777">
            <w:pPr>
              <w:rPr>
                <w:rFonts w:ascii="Arial" w:hAnsi="Arial" w:cs="Arial"/>
              </w:rPr>
            </w:pPr>
            <w:r w:rsidRPr="00DF2200">
              <w:rPr>
                <w:rFonts w:ascii="Arial" w:hAnsi="Arial" w:cs="Arial"/>
              </w:rPr>
              <w:t xml:space="preserve">University required students to move out of campus-provided housing. </w:t>
            </w:r>
          </w:p>
          <w:p w:rsidRPr="00DF2200" w:rsidR="00DF2200" w:rsidRDefault="00DF2200" w14:paraId="2E60398B" w14:textId="77777777">
            <w:pPr>
              <w:rPr>
                <w:rFonts w:ascii="Arial" w:hAnsi="Arial" w:cs="Arial"/>
              </w:rPr>
            </w:pPr>
            <w:r w:rsidRPr="00DF2200">
              <w:rPr>
                <w:rFonts w:ascii="Arial" w:hAnsi="Arial" w:cs="Arial"/>
              </w:rPr>
              <w:t xml:space="preserve">Students returned to live in housing after the original spring break period. </w:t>
            </w: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3C8C4BF5" w14:textId="77777777">
            <w:pPr>
              <w:rPr>
                <w:rFonts w:ascii="Arial" w:hAnsi="Arial" w:cs="Arial"/>
              </w:rPr>
            </w:pPr>
            <w:r w:rsidRPr="00DF2200">
              <w:rPr>
                <w:rFonts w:ascii="Arial" w:hAnsi="Arial" w:cs="Arial"/>
              </w:rPr>
              <w:t>Room, board and other fees identified by the university must be refunded, prorated to the effective date housing was “closed.”</w:t>
            </w:r>
          </w:p>
        </w:tc>
      </w:tr>
      <w:tr w:rsidRPr="00DF2200" w:rsidR="00DF2200" w:rsidTr="00DF2200" w14:paraId="105FF2B5" w14:textId="77777777">
        <w:trPr>
          <w:trHeight w:val="1502"/>
        </w:trPr>
        <w:tc>
          <w:tcPr>
            <w:tcW w:w="2339"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6ABDFB82" w14:textId="77777777">
            <w:pPr>
              <w:rPr>
                <w:rFonts w:ascii="Arial" w:hAnsi="Arial" w:cs="Arial"/>
              </w:rPr>
            </w:pPr>
            <w:r w:rsidRPr="00DF2200">
              <w:rPr>
                <w:rFonts w:ascii="Arial" w:hAnsi="Arial" w:cs="Arial"/>
              </w:rPr>
              <w:t xml:space="preserve">2)Students are able to remain living in campus-provided housing. Student chooses to move out. </w:t>
            </w:r>
          </w:p>
        </w:tc>
        <w:tc>
          <w:tcPr>
            <w:tcW w:w="2595"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15669D18" w14:textId="77777777">
            <w:pPr>
              <w:rPr>
                <w:rFonts w:ascii="Arial" w:hAnsi="Arial" w:cs="Arial"/>
              </w:rPr>
            </w:pPr>
            <w:r w:rsidRPr="00DF2200">
              <w:rPr>
                <w:rFonts w:ascii="Arial" w:hAnsi="Arial" w:cs="Arial"/>
              </w:rPr>
              <w:t>Varies by student. The earliest date applicable would be the first day after the original spring break period.</w:t>
            </w: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1CA566A8" w14:textId="77777777">
            <w:pPr>
              <w:rPr>
                <w:rFonts w:ascii="Arial" w:hAnsi="Arial" w:cs="Arial"/>
              </w:rPr>
            </w:pPr>
            <w:r w:rsidRPr="00DF2200">
              <w:rPr>
                <w:rFonts w:ascii="Arial" w:hAnsi="Arial" w:cs="Arial"/>
              </w:rPr>
              <w:t>Room, board and other fees identified by the university should be refunded, prorated to the effective date the student terminated housing/dining contract.</w:t>
            </w:r>
          </w:p>
        </w:tc>
      </w:tr>
      <w:tr w:rsidRPr="00DF2200" w:rsidR="00DF2200" w:rsidTr="00DF2200" w14:paraId="4C0B717E" w14:textId="77777777">
        <w:trPr>
          <w:trHeight w:val="1187"/>
        </w:trPr>
        <w:tc>
          <w:tcPr>
            <w:tcW w:w="2339"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4BEEBBA8" w14:textId="77777777">
            <w:pPr>
              <w:rPr>
                <w:rFonts w:ascii="Arial" w:hAnsi="Arial" w:cs="Arial"/>
              </w:rPr>
            </w:pPr>
            <w:r w:rsidRPr="00DF2200">
              <w:rPr>
                <w:rFonts w:ascii="Arial" w:hAnsi="Arial" w:cs="Arial"/>
              </w:rPr>
              <w:t>3)Students remaining on campus.</w:t>
            </w:r>
          </w:p>
        </w:tc>
        <w:tc>
          <w:tcPr>
            <w:tcW w:w="2595"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20A1F4D3" w14:textId="77777777">
            <w:pPr>
              <w:rPr>
                <w:rFonts w:ascii="Arial" w:hAnsi="Arial" w:cs="Arial"/>
              </w:rPr>
            </w:pPr>
            <w:r w:rsidRPr="00DF2200">
              <w:rPr>
                <w:rFonts w:ascii="Arial" w:hAnsi="Arial" w:cs="Arial"/>
              </w:rPr>
              <w:t>No housing/dining refunds.</w:t>
            </w: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0039FF80" w14:textId="77777777">
            <w:pPr>
              <w:rPr>
                <w:rFonts w:ascii="Arial" w:hAnsi="Arial" w:cs="Arial"/>
              </w:rPr>
            </w:pPr>
            <w:r w:rsidRPr="00DF2200">
              <w:rPr>
                <w:rFonts w:ascii="Arial" w:hAnsi="Arial" w:cs="Arial"/>
              </w:rPr>
              <w:t>For other services that may no longer be provided, other fees identified by the university may be refunded based on the date services ended.</w:t>
            </w:r>
          </w:p>
        </w:tc>
      </w:tr>
      <w:tr w:rsidRPr="00DF2200" w:rsidR="00DF2200" w:rsidTr="00DF2200" w14:paraId="5DF403BD" w14:textId="77777777">
        <w:trPr>
          <w:trHeight w:val="971"/>
        </w:trPr>
        <w:tc>
          <w:tcPr>
            <w:tcW w:w="2339"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6E0DDE1E" w14:textId="77777777">
            <w:pPr>
              <w:rPr>
                <w:rFonts w:ascii="Arial" w:hAnsi="Arial" w:cs="Arial"/>
              </w:rPr>
            </w:pPr>
            <w:r w:rsidRPr="00DF2200">
              <w:rPr>
                <w:rFonts w:ascii="Arial" w:hAnsi="Arial" w:cs="Arial"/>
              </w:rPr>
              <w:t>4)Students living off-campus, not university property.</w:t>
            </w:r>
          </w:p>
        </w:tc>
        <w:tc>
          <w:tcPr>
            <w:tcW w:w="2595" w:type="dxa"/>
            <w:tcBorders>
              <w:top w:val="single" w:color="auto" w:sz="4" w:space="0"/>
              <w:left w:val="single" w:color="auto" w:sz="4" w:space="0"/>
              <w:bottom w:val="single" w:color="auto" w:sz="4" w:space="0"/>
              <w:right w:val="single" w:color="auto" w:sz="4" w:space="0"/>
            </w:tcBorders>
          </w:tcPr>
          <w:p w:rsidRPr="00DF2200" w:rsidR="00DF2200" w:rsidRDefault="00DF2200" w14:paraId="250F09FB" w14:textId="77777777">
            <w:pPr>
              <w:rPr>
                <w:rFonts w:ascii="Arial" w:hAnsi="Arial" w:cs="Arial"/>
              </w:rPr>
            </w:pP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4CFE9702" w14:textId="77777777">
            <w:pPr>
              <w:rPr>
                <w:rFonts w:ascii="Arial" w:hAnsi="Arial" w:cs="Arial"/>
              </w:rPr>
            </w:pPr>
            <w:r w:rsidRPr="00DF2200">
              <w:rPr>
                <w:rFonts w:ascii="Arial" w:hAnsi="Arial" w:cs="Arial"/>
              </w:rPr>
              <w:t>Other fees identified by the university must be refunded, prorated based on the same timing in scenario 1.</w:t>
            </w:r>
          </w:p>
        </w:tc>
      </w:tr>
      <w:tr w:rsidRPr="00DF2200" w:rsidR="00DF2200" w:rsidTr="00DF2200" w14:paraId="54091285" w14:textId="77777777">
        <w:trPr>
          <w:trHeight w:val="890"/>
        </w:trPr>
        <w:tc>
          <w:tcPr>
            <w:tcW w:w="2339"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75404598" w14:textId="77777777">
            <w:pPr>
              <w:rPr>
                <w:rFonts w:ascii="Arial" w:hAnsi="Arial" w:cs="Arial"/>
              </w:rPr>
            </w:pPr>
            <w:r w:rsidRPr="00DF2200">
              <w:rPr>
                <w:rFonts w:ascii="Arial" w:hAnsi="Arial" w:cs="Arial"/>
              </w:rPr>
              <w:t>5)Affiliate housing excluded from above.</w:t>
            </w:r>
          </w:p>
        </w:tc>
        <w:tc>
          <w:tcPr>
            <w:tcW w:w="2595" w:type="dxa"/>
            <w:tcBorders>
              <w:top w:val="single" w:color="auto" w:sz="4" w:space="0"/>
              <w:left w:val="single" w:color="auto" w:sz="4" w:space="0"/>
              <w:bottom w:val="single" w:color="auto" w:sz="4" w:space="0"/>
              <w:right w:val="single" w:color="auto" w:sz="4" w:space="0"/>
            </w:tcBorders>
          </w:tcPr>
          <w:p w:rsidRPr="00DF2200" w:rsidR="00DF2200" w:rsidRDefault="00DF2200" w14:paraId="3DBAD38D" w14:textId="77777777">
            <w:pPr>
              <w:rPr>
                <w:rFonts w:ascii="Arial" w:hAnsi="Arial" w:cs="Arial"/>
              </w:rPr>
            </w:pPr>
          </w:p>
        </w:tc>
        <w:tc>
          <w:tcPr>
            <w:tcW w:w="3881" w:type="dxa"/>
            <w:tcBorders>
              <w:top w:val="single" w:color="auto" w:sz="4" w:space="0"/>
              <w:left w:val="single" w:color="auto" w:sz="4" w:space="0"/>
              <w:bottom w:val="single" w:color="auto" w:sz="4" w:space="0"/>
              <w:right w:val="single" w:color="auto" w:sz="4" w:space="0"/>
            </w:tcBorders>
            <w:hideMark/>
          </w:tcPr>
          <w:p w:rsidRPr="00DF2200" w:rsidR="00DF2200" w:rsidRDefault="00DF2200" w14:paraId="4352A176" w14:textId="77777777">
            <w:pPr>
              <w:rPr>
                <w:rFonts w:ascii="Arial" w:hAnsi="Arial" w:cs="Arial"/>
              </w:rPr>
            </w:pPr>
            <w:r w:rsidRPr="00DF2200">
              <w:rPr>
                <w:rFonts w:ascii="Arial" w:hAnsi="Arial" w:cs="Arial"/>
              </w:rPr>
              <w:t>Each university will have to work with their affiliate housing providers for the best interest of the students.</w:t>
            </w:r>
          </w:p>
        </w:tc>
      </w:tr>
    </w:tbl>
    <w:p w:rsidRPr="00DF2200" w:rsidR="00DF2200" w:rsidP="00DF2200" w:rsidRDefault="00DF2200" w14:paraId="7B184C4F" w14:textId="7E87B419">
      <w:pPr>
        <w:rPr>
          <w:rFonts w:ascii="Arial" w:hAnsi="Arial" w:eastAsia="Times New Roman" w:cs="Arial"/>
        </w:rPr>
      </w:pPr>
      <w:bookmarkStart w:name="_GoBack" w:id="2"/>
      <w:bookmarkEnd w:id="2"/>
    </w:p>
    <w:p w:rsidRPr="00DF2200" w:rsidR="00DF2200" w:rsidP="00DF2200" w:rsidRDefault="00A3101C" w14:paraId="6E34644A" w14:textId="6E9FAB9E">
      <w:pPr>
        <w:rPr>
          <w:rFonts w:ascii="Arial" w:hAnsi="Arial" w:cs="Arial"/>
          <w:b/>
          <w:bCs/>
        </w:rPr>
      </w:pPr>
      <w:r>
        <w:rPr>
          <w:rFonts w:ascii="Arial" w:hAnsi="Arial" w:cs="Arial"/>
          <w:b/>
          <w:bCs/>
        </w:rPr>
        <w:br/>
      </w:r>
      <w:r w:rsidR="00BA66E5">
        <w:rPr>
          <w:rFonts w:ascii="Arial" w:hAnsi="Arial" w:cs="Arial"/>
          <w:b/>
          <w:bCs/>
        </w:rPr>
        <w:t>Wi</w:t>
      </w:r>
      <w:r w:rsidRPr="00DF2200" w:rsidR="00DF2200">
        <w:rPr>
          <w:rFonts w:ascii="Arial" w:hAnsi="Arial" w:cs="Arial"/>
          <w:b/>
          <w:bCs/>
        </w:rPr>
        <w:t xml:space="preserve">thdrawals: </w:t>
      </w:r>
    </w:p>
    <w:p w:rsidRPr="00DF2200" w:rsidR="00DF2200" w:rsidP="00DF2200" w:rsidRDefault="00DF2200" w14:paraId="6AF852CE" w14:textId="77777777">
      <w:pPr>
        <w:rPr>
          <w:rFonts w:ascii="Arial" w:hAnsi="Arial" w:cs="Arial"/>
        </w:rPr>
      </w:pPr>
      <w:r w:rsidRPr="00DF2200">
        <w:rPr>
          <w:rFonts w:ascii="Arial" w:hAnsi="Arial" w:cs="Arial"/>
        </w:rPr>
        <w:t xml:space="preserve">Universities are not required to refund tuition and fees for students who choose to withdraw, given that the university is providing full educational and student services and the refund period </w:t>
      </w:r>
      <w:r w:rsidRPr="00DF2200">
        <w:rPr>
          <w:rFonts w:ascii="Arial" w:hAnsi="Arial" w:cs="Arial"/>
        </w:rPr>
        <w:lastRenderedPageBreak/>
        <w:t xml:space="preserve">is passed. See Board of Governors’ Policy 1983-19-A: </w:t>
      </w:r>
      <w:hyperlink w:history="1" r:id="rId13">
        <w:r w:rsidRPr="00DF2200">
          <w:rPr>
            <w:rStyle w:val="Hyperlink"/>
            <w:rFonts w:ascii="Arial" w:hAnsi="Arial" w:cs="Arial"/>
            <w:i/>
            <w:iCs/>
          </w:rPr>
          <w:t>Refund of Tuition and Fees</w:t>
        </w:r>
      </w:hyperlink>
      <w:r w:rsidRPr="00DF2200">
        <w:rPr>
          <w:rFonts w:ascii="Arial" w:hAnsi="Arial" w:cs="Arial"/>
          <w:i/>
          <w:iCs/>
        </w:rPr>
        <w:t xml:space="preserve">, </w:t>
      </w:r>
      <w:r w:rsidRPr="00DF2200">
        <w:rPr>
          <w:rFonts w:ascii="Arial" w:hAnsi="Arial" w:cs="Arial"/>
        </w:rPr>
        <w:t xml:space="preserve">and University refund policies. However, Section B.8. of the Board policy provides: “A student is eligible for consideration for a refund for any reason approved by the president or his/her designee.” </w:t>
      </w:r>
    </w:p>
    <w:p w:rsidRPr="00DF2200" w:rsidR="00DF2200" w:rsidP="00DF2200" w:rsidRDefault="00DF2200" w14:paraId="538DA6A4" w14:textId="77777777">
      <w:pPr>
        <w:rPr>
          <w:rFonts w:ascii="Arial" w:hAnsi="Arial" w:cs="Arial"/>
        </w:rPr>
      </w:pPr>
    </w:p>
    <w:p w:rsidRPr="00DF2200" w:rsidR="00DF2200" w:rsidP="00DF2200" w:rsidRDefault="00DF2200" w14:paraId="7C3EBA84" w14:textId="77777777">
      <w:pPr>
        <w:rPr>
          <w:rFonts w:ascii="Arial" w:hAnsi="Arial" w:cs="Arial"/>
        </w:rPr>
      </w:pPr>
      <w:r w:rsidRPr="00DF2200">
        <w:rPr>
          <w:rFonts w:ascii="Arial" w:hAnsi="Arial" w:cs="Arial"/>
        </w:rPr>
        <w:t>For those who do withdraw, universities should provide a flexible and easy way for students to re-enroll, either in the current semester or future terms.</w:t>
      </w:r>
    </w:p>
    <w:p w:rsidRPr="00DF2200" w:rsidR="00100D52" w:rsidP="00B526E8" w:rsidRDefault="00100D52" w14:paraId="6B5B101F" w14:textId="5E0AF8C5">
      <w:pPr>
        <w:rPr>
          <w:rFonts w:ascii="Arial" w:hAnsi="Arial" w:eastAsia="Arial" w:cs="Arial"/>
        </w:rPr>
      </w:pPr>
    </w:p>
    <w:sectPr w:rsidRPr="00DF2200" w:rsidR="00100D5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7C" w:rsidP="00273FFA" w:rsidRDefault="00304B7C" w14:paraId="2E33774E" w14:textId="77777777">
      <w:r>
        <w:separator/>
      </w:r>
    </w:p>
  </w:endnote>
  <w:endnote w:type="continuationSeparator" w:id="0">
    <w:p w:rsidR="00304B7C" w:rsidP="00273FFA" w:rsidRDefault="00304B7C" w14:paraId="244A51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7C" w:rsidP="00273FFA" w:rsidRDefault="00304B7C" w14:paraId="168F0CAA" w14:textId="77777777">
      <w:r>
        <w:separator/>
      </w:r>
    </w:p>
  </w:footnote>
  <w:footnote w:type="continuationSeparator" w:id="0">
    <w:p w:rsidR="00304B7C" w:rsidP="00273FFA" w:rsidRDefault="00304B7C" w14:paraId="6D18A3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376A09"/>
    <w:multiLevelType w:val="hybridMultilevel"/>
    <w:tmpl w:val="463CF898"/>
    <w:lvl w:ilvl="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727207"/>
    <w:multiLevelType w:val="multilevel"/>
    <w:tmpl w:val="6D3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86B4A65"/>
    <w:multiLevelType w:val="hybridMultilevel"/>
    <w:tmpl w:val="B852D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747CB"/>
    <w:rsid w:val="0009013E"/>
    <w:rsid w:val="00092415"/>
    <w:rsid w:val="000A24EF"/>
    <w:rsid w:val="00100D52"/>
    <w:rsid w:val="00103602"/>
    <w:rsid w:val="00125CC2"/>
    <w:rsid w:val="0019340D"/>
    <w:rsid w:val="001B46C1"/>
    <w:rsid w:val="001E6D7B"/>
    <w:rsid w:val="00233EE7"/>
    <w:rsid w:val="00273FFA"/>
    <w:rsid w:val="002776FB"/>
    <w:rsid w:val="0028188F"/>
    <w:rsid w:val="00292599"/>
    <w:rsid w:val="002D28A5"/>
    <w:rsid w:val="002D6431"/>
    <w:rsid w:val="002F468C"/>
    <w:rsid w:val="00304B7C"/>
    <w:rsid w:val="00326C0C"/>
    <w:rsid w:val="003307D4"/>
    <w:rsid w:val="0034545A"/>
    <w:rsid w:val="003967FC"/>
    <w:rsid w:val="003B3310"/>
    <w:rsid w:val="003D1D49"/>
    <w:rsid w:val="003D5561"/>
    <w:rsid w:val="003F3CC9"/>
    <w:rsid w:val="003F56F9"/>
    <w:rsid w:val="00400C03"/>
    <w:rsid w:val="00402E7A"/>
    <w:rsid w:val="004265BF"/>
    <w:rsid w:val="0043289A"/>
    <w:rsid w:val="00434080"/>
    <w:rsid w:val="004D67EA"/>
    <w:rsid w:val="00501C30"/>
    <w:rsid w:val="0051402B"/>
    <w:rsid w:val="00657CF6"/>
    <w:rsid w:val="00663012"/>
    <w:rsid w:val="00665B54"/>
    <w:rsid w:val="00693307"/>
    <w:rsid w:val="006B49D9"/>
    <w:rsid w:val="006F6C72"/>
    <w:rsid w:val="00701F14"/>
    <w:rsid w:val="00705C6E"/>
    <w:rsid w:val="00711F74"/>
    <w:rsid w:val="00773450"/>
    <w:rsid w:val="007A5D47"/>
    <w:rsid w:val="00840D90"/>
    <w:rsid w:val="0084324E"/>
    <w:rsid w:val="008679AA"/>
    <w:rsid w:val="0089664C"/>
    <w:rsid w:val="00897FA4"/>
    <w:rsid w:val="008E213A"/>
    <w:rsid w:val="008F4406"/>
    <w:rsid w:val="00917193"/>
    <w:rsid w:val="009626F3"/>
    <w:rsid w:val="00A3101C"/>
    <w:rsid w:val="00AF4516"/>
    <w:rsid w:val="00B11DEE"/>
    <w:rsid w:val="00B12FC2"/>
    <w:rsid w:val="00B26B51"/>
    <w:rsid w:val="00B3145D"/>
    <w:rsid w:val="00B526E8"/>
    <w:rsid w:val="00B64C1B"/>
    <w:rsid w:val="00B86947"/>
    <w:rsid w:val="00BA66E5"/>
    <w:rsid w:val="00BC5AAD"/>
    <w:rsid w:val="00BF01B8"/>
    <w:rsid w:val="00BF1C29"/>
    <w:rsid w:val="00C01C5E"/>
    <w:rsid w:val="00C20275"/>
    <w:rsid w:val="00C805FF"/>
    <w:rsid w:val="00C86EA4"/>
    <w:rsid w:val="00D06D54"/>
    <w:rsid w:val="00D26BF9"/>
    <w:rsid w:val="00DE3AC4"/>
    <w:rsid w:val="00DF2200"/>
    <w:rsid w:val="00E745EC"/>
    <w:rsid w:val="00E757F2"/>
    <w:rsid w:val="00EC0A15"/>
    <w:rsid w:val="00ED0CC0"/>
    <w:rsid w:val="00EE3A25"/>
    <w:rsid w:val="00F27640"/>
    <w:rsid w:val="00F95E87"/>
    <w:rsid w:val="00FD6922"/>
    <w:rsid w:val="03F382B8"/>
    <w:rsid w:val="0B63E501"/>
    <w:rsid w:val="0BF4C82C"/>
    <w:rsid w:val="0C71A918"/>
    <w:rsid w:val="15134C13"/>
    <w:rsid w:val="15E16ECC"/>
    <w:rsid w:val="16B9F656"/>
    <w:rsid w:val="1D6805D1"/>
    <w:rsid w:val="1E239894"/>
    <w:rsid w:val="20299890"/>
    <w:rsid w:val="22CE3C84"/>
    <w:rsid w:val="24EB5E15"/>
    <w:rsid w:val="293A8E0B"/>
    <w:rsid w:val="35C00A75"/>
    <w:rsid w:val="39EEB443"/>
    <w:rsid w:val="41D3B7F7"/>
    <w:rsid w:val="481F9911"/>
    <w:rsid w:val="4AB3FE6C"/>
    <w:rsid w:val="4BEBD1B2"/>
    <w:rsid w:val="507820D7"/>
    <w:rsid w:val="51AA94B7"/>
    <w:rsid w:val="57AE66F4"/>
    <w:rsid w:val="607B62C2"/>
    <w:rsid w:val="69C2DA0E"/>
    <w:rsid w:val="727941DF"/>
    <w:rsid w:val="7A11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EEB8"/>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FD6922"/>
    <w:rPr>
      <w:color w:val="605E5C"/>
      <w:shd w:val="clear" w:color="auto" w:fill="E1DFDD"/>
    </w:rPr>
  </w:style>
  <w:style w:type="paragraph" w:styleId="FootnoteText">
    <w:name w:val="footnote text"/>
    <w:basedOn w:val="Normal"/>
    <w:link w:val="FootnoteTextChar"/>
    <w:uiPriority w:val="99"/>
    <w:semiHidden/>
    <w:unhideWhenUsed/>
    <w:rsid w:val="00273FFA"/>
    <w:rPr>
      <w:sz w:val="20"/>
      <w:szCs w:val="20"/>
    </w:rPr>
  </w:style>
  <w:style w:type="character" w:styleId="FootnoteTextChar" w:customStyle="1">
    <w:name w:val="Footnote Text Char"/>
    <w:basedOn w:val="DefaultParagraphFont"/>
    <w:link w:val="FootnoteText"/>
    <w:uiPriority w:val="99"/>
    <w:semiHidden/>
    <w:rsid w:val="00273FFA"/>
    <w:rPr>
      <w:rFonts w:ascii="Calibri" w:hAnsi="Calibri" w:cs="Calibri"/>
      <w:sz w:val="20"/>
      <w:szCs w:val="20"/>
    </w:rPr>
  </w:style>
  <w:style w:type="character" w:styleId="FootnoteReference">
    <w:name w:val="footnote reference"/>
    <w:basedOn w:val="DefaultParagraphFont"/>
    <w:uiPriority w:val="99"/>
    <w:semiHidden/>
    <w:unhideWhenUsed/>
    <w:rsid w:val="00273FFA"/>
    <w:rPr>
      <w:vertAlign w:val="superscript"/>
    </w:rPr>
  </w:style>
  <w:style w:type="character" w:styleId="CommentReference">
    <w:name w:val="annotation reference"/>
    <w:basedOn w:val="DefaultParagraphFont"/>
    <w:uiPriority w:val="99"/>
    <w:semiHidden/>
    <w:unhideWhenUsed/>
    <w:rsid w:val="00EE3A25"/>
    <w:rPr>
      <w:sz w:val="16"/>
      <w:szCs w:val="16"/>
    </w:rPr>
  </w:style>
  <w:style w:type="paragraph" w:styleId="CommentText">
    <w:name w:val="annotation text"/>
    <w:basedOn w:val="Normal"/>
    <w:link w:val="CommentTextChar"/>
    <w:uiPriority w:val="99"/>
    <w:semiHidden/>
    <w:unhideWhenUsed/>
    <w:rsid w:val="00EE3A25"/>
    <w:rPr>
      <w:sz w:val="20"/>
      <w:szCs w:val="20"/>
    </w:rPr>
  </w:style>
  <w:style w:type="character" w:styleId="CommentTextChar" w:customStyle="1">
    <w:name w:val="Comment Text Char"/>
    <w:basedOn w:val="DefaultParagraphFont"/>
    <w:link w:val="CommentText"/>
    <w:uiPriority w:val="99"/>
    <w:semiHidden/>
    <w:rsid w:val="00EE3A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3A25"/>
    <w:rPr>
      <w:b/>
      <w:bCs/>
    </w:rPr>
  </w:style>
  <w:style w:type="character" w:styleId="CommentSubjectChar" w:customStyle="1">
    <w:name w:val="Comment Subject Char"/>
    <w:basedOn w:val="CommentTextChar"/>
    <w:link w:val="CommentSubject"/>
    <w:uiPriority w:val="99"/>
    <w:semiHidden/>
    <w:rsid w:val="00EE3A25"/>
    <w:rPr>
      <w:rFonts w:ascii="Calibri" w:hAnsi="Calibri" w:cs="Calibri"/>
      <w:b/>
      <w:bCs/>
      <w:sz w:val="20"/>
      <w:szCs w:val="20"/>
    </w:rPr>
  </w:style>
  <w:style w:type="paragraph" w:styleId="BalloonText">
    <w:name w:val="Balloon Text"/>
    <w:basedOn w:val="Normal"/>
    <w:link w:val="BalloonTextChar"/>
    <w:uiPriority w:val="99"/>
    <w:semiHidden/>
    <w:unhideWhenUsed/>
    <w:rsid w:val="00EE3A2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3A25"/>
    <w:rPr>
      <w:rFonts w:ascii="Segoe UI" w:hAnsi="Segoe UI" w:cs="Segoe UI"/>
      <w:sz w:val="18"/>
      <w:szCs w:val="18"/>
    </w:rPr>
  </w:style>
  <w:style w:type="paragraph" w:styleId="NormalWeb">
    <w:name w:val="Normal (Web)"/>
    <w:basedOn w:val="Normal"/>
    <w:uiPriority w:val="99"/>
    <w:semiHidden/>
    <w:unhideWhenUsed/>
    <w:rsid w:val="00DF2200"/>
    <w:pPr>
      <w:spacing w:before="100" w:beforeAutospacing="1" w:after="100" w:afterAutospacing="1"/>
    </w:pPr>
    <w:rPr>
      <w:rFonts w:ascii="Times New Roman" w:hAnsi="Times New Roman" w:eastAsia="Times New Roman" w:cs="Times New Roman"/>
      <w:sz w:val="24"/>
      <w:szCs w:val="24"/>
    </w:rPr>
  </w:style>
  <w:style w:type="table" w:styleId="TableGrid">
    <w:name w:val="Table Grid"/>
    <w:basedOn w:val="TableNormal"/>
    <w:uiPriority w:val="39"/>
    <w:rsid w:val="00DF2200"/>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917">
      <w:bodyDiv w:val="1"/>
      <w:marLeft w:val="0"/>
      <w:marRight w:val="0"/>
      <w:marTop w:val="0"/>
      <w:marBottom w:val="0"/>
      <w:divBdr>
        <w:top w:val="none" w:sz="0" w:space="0" w:color="auto"/>
        <w:left w:val="none" w:sz="0" w:space="0" w:color="auto"/>
        <w:bottom w:val="none" w:sz="0" w:space="0" w:color="auto"/>
        <w:right w:val="none" w:sz="0" w:space="0" w:color="auto"/>
      </w:divBdr>
    </w:div>
    <w:div w:id="1055399532">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sshe.edu/inside/policies/BOG_Policies/Policy%201983-19-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policy/gen/guid/disasters/disaster-guidanc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ap.ed.gov/electronic-announcements/030520Guidance4interruptionsrelated2CoronavirusCOVID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2020-03-20T04:00:00+00:00</Date>
    <Category xmlns="b2eefa09-ef20-41b6-8508-81f8073f38e3">Guidance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F78D7-B477-4061-9B91-78DFA799F6ED}"/>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customXml/itemProps4.xml><?xml version="1.0" encoding="utf-8"?>
<ds:datastoreItem xmlns:ds="http://schemas.openxmlformats.org/officeDocument/2006/customXml" ds:itemID="{FD07EAE8-042A-4AB6-81E7-7102D56530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Refunding Student Fees</dc:title>
  <dc:subject/>
  <dc:creator>Goin Jr., Randy</dc:creator>
  <cp:keywords/>
  <dc:description/>
  <cp:lastModifiedBy>Goin Jr., Randy</cp:lastModifiedBy>
  <cp:revision>12</cp:revision>
  <dcterms:created xsi:type="dcterms:W3CDTF">2020-03-19T21:02:00Z</dcterms:created>
  <dcterms:modified xsi:type="dcterms:W3CDTF">2020-03-20T13:36:37Z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